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792F" w14:textId="3601D3DA" w:rsidR="0061085E" w:rsidRPr="00F85CCF" w:rsidRDefault="00F85CCF" w:rsidP="0061085E">
      <w:pPr>
        <w:ind w:left="-720"/>
        <w:rPr>
          <w:rFonts w:ascii="Arial" w:hAnsi="Arial"/>
          <w:b/>
          <w:sz w:val="28"/>
          <w:szCs w:val="28"/>
        </w:rPr>
      </w:pPr>
      <w:r w:rsidRPr="00F85CCF"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AF6279" wp14:editId="42011350">
            <wp:simplePos x="0" y="0"/>
            <wp:positionH relativeFrom="column">
              <wp:posOffset>4732020</wp:posOffset>
            </wp:positionH>
            <wp:positionV relativeFrom="paragraph">
              <wp:posOffset>-262255</wp:posOffset>
            </wp:positionV>
            <wp:extent cx="1661160" cy="1493520"/>
            <wp:effectExtent l="0" t="0" r="0" b="0"/>
            <wp:wrapNone/>
            <wp:docPr id="1332441548" name="Picture 1" descr="A close 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41548" name="Picture 1" descr="A close 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85E" w:rsidRPr="00F85CCF">
        <w:rPr>
          <w:rFonts w:ascii="Arial" w:hAnsi="Arial"/>
          <w:b/>
          <w:sz w:val="28"/>
          <w:szCs w:val="28"/>
        </w:rPr>
        <w:t xml:space="preserve">YUBA COUNTY </w:t>
      </w:r>
      <w:r w:rsidRPr="00F85CCF">
        <w:rPr>
          <w:rFonts w:ascii="Arial" w:hAnsi="Arial"/>
          <w:b/>
          <w:sz w:val="28"/>
          <w:szCs w:val="28"/>
        </w:rPr>
        <w:t>CDSA</w:t>
      </w:r>
    </w:p>
    <w:p w14:paraId="7AA2D8B6" w14:textId="751AFE7A" w:rsidR="0061085E" w:rsidRPr="00F85CCF" w:rsidRDefault="0061085E" w:rsidP="0061085E">
      <w:pPr>
        <w:ind w:left="-720"/>
        <w:rPr>
          <w:rFonts w:ascii="Arial" w:hAnsi="Arial"/>
          <w:sz w:val="20"/>
          <w:szCs w:val="20"/>
        </w:rPr>
      </w:pPr>
      <w:r w:rsidRPr="00F85CCF">
        <w:rPr>
          <w:rFonts w:ascii="Arial" w:hAnsi="Arial"/>
          <w:sz w:val="20"/>
          <w:szCs w:val="20"/>
        </w:rPr>
        <w:t>915 8</w:t>
      </w:r>
      <w:r w:rsidRPr="00F85CCF">
        <w:rPr>
          <w:rFonts w:ascii="Arial" w:hAnsi="Arial"/>
          <w:sz w:val="20"/>
          <w:szCs w:val="20"/>
          <w:vertAlign w:val="superscript"/>
        </w:rPr>
        <w:t>th</w:t>
      </w:r>
      <w:r w:rsidRPr="00F85CCF">
        <w:rPr>
          <w:rFonts w:ascii="Arial" w:hAnsi="Arial"/>
          <w:sz w:val="20"/>
          <w:szCs w:val="20"/>
        </w:rPr>
        <w:t xml:space="preserve"> STREET, SUITE 123 </w:t>
      </w:r>
      <w:r w:rsidRPr="00F85CCF">
        <w:rPr>
          <w:rFonts w:ascii="Arial" w:hAnsi="Arial"/>
          <w:sz w:val="20"/>
          <w:szCs w:val="20"/>
        </w:rPr>
        <w:sym w:font="Wingdings" w:char="F09F"/>
      </w:r>
      <w:r w:rsidRPr="00F85CCF">
        <w:rPr>
          <w:rFonts w:ascii="Arial" w:hAnsi="Arial"/>
          <w:sz w:val="20"/>
          <w:szCs w:val="20"/>
        </w:rPr>
        <w:t xml:space="preserve"> MARYSVILLE, CA  95901</w:t>
      </w:r>
    </w:p>
    <w:p w14:paraId="5460B9BF" w14:textId="0ED25489" w:rsidR="0061085E" w:rsidRPr="00F85CCF" w:rsidRDefault="0061085E" w:rsidP="0061085E">
      <w:pPr>
        <w:ind w:left="-720"/>
        <w:rPr>
          <w:rFonts w:ascii="Arial" w:hAnsi="Arial"/>
          <w:sz w:val="20"/>
          <w:szCs w:val="20"/>
        </w:rPr>
      </w:pPr>
      <w:r w:rsidRPr="00F85CCF">
        <w:rPr>
          <w:rFonts w:ascii="Arial" w:hAnsi="Arial"/>
          <w:sz w:val="20"/>
          <w:szCs w:val="20"/>
        </w:rPr>
        <w:t xml:space="preserve">(530) 749-5450 </w:t>
      </w:r>
      <w:r w:rsidRPr="00F85CCF">
        <w:rPr>
          <w:rFonts w:ascii="Arial" w:hAnsi="Arial"/>
          <w:sz w:val="20"/>
          <w:szCs w:val="20"/>
        </w:rPr>
        <w:sym w:font="Wingdings" w:char="F09F"/>
      </w:r>
      <w:r w:rsidRPr="00F85CCF">
        <w:rPr>
          <w:rFonts w:ascii="Arial" w:hAnsi="Arial"/>
          <w:sz w:val="20"/>
          <w:szCs w:val="20"/>
        </w:rPr>
        <w:t xml:space="preserve"> FAX (530) 749-5454</w:t>
      </w:r>
    </w:p>
    <w:p w14:paraId="1DC2C981" w14:textId="77777777" w:rsidR="00A11A6D" w:rsidRPr="00F85CCF" w:rsidRDefault="00A11A6D">
      <w:pPr>
        <w:rPr>
          <w:rFonts w:ascii="Arial" w:hAnsi="Arial"/>
        </w:rPr>
      </w:pPr>
    </w:p>
    <w:p w14:paraId="54B909AB" w14:textId="77777777" w:rsidR="0061085E" w:rsidRPr="00F85CCF" w:rsidRDefault="0061085E">
      <w:pPr>
        <w:rPr>
          <w:rFonts w:ascii="Arial" w:hAnsi="Arial"/>
        </w:rPr>
      </w:pPr>
    </w:p>
    <w:p w14:paraId="59B4BA9D" w14:textId="77777777" w:rsidR="0061085E" w:rsidRPr="00F85CCF" w:rsidRDefault="0061085E" w:rsidP="0061085E">
      <w:pPr>
        <w:ind w:left="-720"/>
        <w:rPr>
          <w:rFonts w:ascii="Arial" w:hAnsi="Arial"/>
          <w:b/>
        </w:rPr>
      </w:pPr>
      <w:r w:rsidRPr="00F85CCF">
        <w:rPr>
          <w:rFonts w:ascii="Arial" w:hAnsi="Arial"/>
          <w:b/>
        </w:rPr>
        <w:t>WATER QUALITY MONITORING REQUIREMENTS</w:t>
      </w:r>
    </w:p>
    <w:p w14:paraId="0567FC8B" w14:textId="77777777" w:rsidR="0061085E" w:rsidRPr="00F85CCF" w:rsidRDefault="00821455" w:rsidP="0061085E">
      <w:pPr>
        <w:ind w:left="-720"/>
        <w:rPr>
          <w:rFonts w:ascii="Arial" w:hAnsi="Arial"/>
          <w:b/>
          <w:i/>
        </w:rPr>
      </w:pPr>
      <w:r w:rsidRPr="00F85CCF">
        <w:rPr>
          <w:rFonts w:ascii="Arial" w:hAnsi="Arial"/>
          <w:b/>
          <w:i/>
        </w:rPr>
        <w:t>TRANSIENT, NON-</w:t>
      </w:r>
      <w:r w:rsidR="0061085E" w:rsidRPr="00F85CCF">
        <w:rPr>
          <w:rFonts w:ascii="Arial" w:hAnsi="Arial"/>
          <w:b/>
          <w:i/>
        </w:rPr>
        <w:t>COMMUNITY WATER SYSTEM</w:t>
      </w:r>
    </w:p>
    <w:p w14:paraId="01501C5E" w14:textId="77777777" w:rsidR="0061085E" w:rsidRPr="00F85CCF" w:rsidRDefault="0061085E" w:rsidP="0061085E">
      <w:pPr>
        <w:ind w:left="-720"/>
        <w:rPr>
          <w:rFonts w:ascii="Arial" w:hAnsi="Arial"/>
          <w:u w:val="thick"/>
        </w:rPr>
      </w:pPr>
      <w:r w:rsidRPr="00F85CCF">
        <w:rPr>
          <w:rFonts w:ascii="Arial" w:hAnsi="Arial"/>
          <w:u w:val="thick"/>
        </w:rPr>
        <w:tab/>
      </w:r>
      <w:r w:rsidRPr="00F85CCF">
        <w:rPr>
          <w:rFonts w:ascii="Arial" w:hAnsi="Arial"/>
          <w:u w:val="thick"/>
        </w:rPr>
        <w:tab/>
      </w:r>
      <w:r w:rsidRPr="00F85CCF">
        <w:rPr>
          <w:rFonts w:ascii="Arial" w:hAnsi="Arial"/>
          <w:u w:val="thick"/>
        </w:rPr>
        <w:tab/>
      </w:r>
      <w:r w:rsidRPr="00F85CCF">
        <w:rPr>
          <w:rFonts w:ascii="Arial" w:hAnsi="Arial"/>
          <w:u w:val="thick"/>
        </w:rPr>
        <w:tab/>
      </w:r>
      <w:r w:rsidRPr="00F85CCF">
        <w:rPr>
          <w:rFonts w:ascii="Arial" w:hAnsi="Arial"/>
          <w:u w:val="thick"/>
        </w:rPr>
        <w:tab/>
      </w: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2605"/>
        <w:gridCol w:w="8280"/>
      </w:tblGrid>
      <w:tr w:rsidR="0061085E" w:rsidRPr="00F85CCF" w14:paraId="7FF649C9" w14:textId="77777777" w:rsidTr="000A3640"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795CFAA4" w14:textId="77777777" w:rsidR="0061085E" w:rsidRPr="00F85CCF" w:rsidRDefault="0061085E" w:rsidP="006267B3">
            <w:pPr>
              <w:rPr>
                <w:rFonts w:ascii="Arial" w:hAnsi="Arial"/>
                <w:b/>
              </w:rPr>
            </w:pPr>
            <w:r w:rsidRPr="00F85CCF">
              <w:rPr>
                <w:rFonts w:ascii="Arial" w:hAnsi="Arial"/>
                <w:b/>
              </w:rPr>
              <w:t>Constituent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7F086421" w14:textId="77777777" w:rsidR="0061085E" w:rsidRPr="00F85CCF" w:rsidRDefault="0061085E" w:rsidP="0061085E">
            <w:pPr>
              <w:rPr>
                <w:rFonts w:ascii="Arial" w:hAnsi="Arial"/>
                <w:b/>
              </w:rPr>
            </w:pPr>
            <w:r w:rsidRPr="00F85CCF">
              <w:rPr>
                <w:rFonts w:ascii="Arial" w:hAnsi="Arial"/>
                <w:b/>
              </w:rPr>
              <w:t>Frequency</w:t>
            </w:r>
          </w:p>
        </w:tc>
      </w:tr>
      <w:tr w:rsidR="0061085E" w:rsidRPr="00F85CCF" w14:paraId="6FCE360C" w14:textId="77777777" w:rsidTr="0061085E">
        <w:tc>
          <w:tcPr>
            <w:tcW w:w="2605" w:type="dxa"/>
          </w:tcPr>
          <w:p w14:paraId="26799158" w14:textId="77777777" w:rsidR="0061085E" w:rsidRPr="00F85CCF" w:rsidRDefault="0061085E" w:rsidP="0061085E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Coliform</w:t>
            </w:r>
          </w:p>
        </w:tc>
        <w:tc>
          <w:tcPr>
            <w:tcW w:w="8280" w:type="dxa"/>
          </w:tcPr>
          <w:p w14:paraId="20C9910C" w14:textId="77777777" w:rsidR="0061085E" w:rsidRPr="00F85CCF" w:rsidRDefault="0061085E" w:rsidP="002D3AA7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 xml:space="preserve">At least one sample </w:t>
            </w:r>
            <w:r w:rsidRPr="00F85CCF">
              <w:rPr>
                <w:rFonts w:ascii="Arial" w:hAnsi="Arial"/>
                <w:b/>
                <w:i/>
              </w:rPr>
              <w:t xml:space="preserve">per </w:t>
            </w:r>
            <w:r w:rsidR="002D3AA7" w:rsidRPr="00F85CCF">
              <w:rPr>
                <w:rFonts w:ascii="Arial" w:hAnsi="Arial"/>
                <w:b/>
                <w:i/>
              </w:rPr>
              <w:t>quarter</w:t>
            </w:r>
            <w:r w:rsidRPr="00F85CCF">
              <w:rPr>
                <w:rFonts w:ascii="Arial" w:hAnsi="Arial"/>
              </w:rPr>
              <w:t xml:space="preserve"> shall be collected in accordance with an approved Bacteriological Sample Siting Plan. </w:t>
            </w:r>
            <w:r w:rsidR="00287AD8" w:rsidRPr="00F85CCF">
              <w:rPr>
                <w:rFonts w:ascii="Arial" w:hAnsi="Arial"/>
              </w:rPr>
              <w:t xml:space="preserve">TNCs must sample monthly during any month in which 1,000 or more persons are served. </w:t>
            </w:r>
            <w:r w:rsidRPr="00F85CCF">
              <w:rPr>
                <w:rFonts w:ascii="Arial" w:hAnsi="Arial"/>
              </w:rPr>
              <w:t>Systems that disinfect (</w:t>
            </w:r>
            <w:r w:rsidR="00DB6972" w:rsidRPr="00F85CCF">
              <w:rPr>
                <w:rFonts w:ascii="Arial" w:hAnsi="Arial"/>
              </w:rPr>
              <w:t xml:space="preserve">i.e., </w:t>
            </w:r>
            <w:r w:rsidRPr="00F85CCF">
              <w:rPr>
                <w:rFonts w:ascii="Arial" w:hAnsi="Arial"/>
              </w:rPr>
              <w:t>chlorinat</w:t>
            </w:r>
            <w:r w:rsidR="00DB6972" w:rsidRPr="00F85CCF">
              <w:rPr>
                <w:rFonts w:ascii="Arial" w:hAnsi="Arial"/>
              </w:rPr>
              <w:t>e</w:t>
            </w:r>
            <w:r w:rsidRPr="00F85CCF">
              <w:rPr>
                <w:rFonts w:ascii="Arial" w:hAnsi="Arial"/>
              </w:rPr>
              <w:t>) shall also collect one sample per quarter at each source. Chlorine residuals must be collected with all coliform samples.</w:t>
            </w:r>
          </w:p>
        </w:tc>
      </w:tr>
    </w:tbl>
    <w:p w14:paraId="54FC6F82" w14:textId="77777777" w:rsidR="0061085E" w:rsidRPr="00F85CCF" w:rsidRDefault="0061085E" w:rsidP="0061085E">
      <w:pPr>
        <w:ind w:left="-720"/>
        <w:rPr>
          <w:rFonts w:ascii="Arial" w:hAnsi="Arial"/>
          <w:u w:val="thick"/>
        </w:rPr>
      </w:pP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2605"/>
        <w:gridCol w:w="4410"/>
        <w:gridCol w:w="3870"/>
      </w:tblGrid>
      <w:tr w:rsidR="006267B3" w:rsidRPr="00F85CCF" w14:paraId="2F9E3D69" w14:textId="77777777" w:rsidTr="000A3640">
        <w:tc>
          <w:tcPr>
            <w:tcW w:w="2605" w:type="dxa"/>
            <w:shd w:val="clear" w:color="auto" w:fill="D9D9D9" w:themeFill="background1" w:themeFillShade="D9"/>
          </w:tcPr>
          <w:p w14:paraId="0EFEE7B0" w14:textId="77777777" w:rsidR="00DB6972" w:rsidRPr="00F85CCF" w:rsidRDefault="00DB6972" w:rsidP="0061085E">
            <w:pPr>
              <w:rPr>
                <w:rFonts w:ascii="Arial" w:hAnsi="Arial"/>
                <w:b/>
              </w:rPr>
            </w:pPr>
            <w:r w:rsidRPr="00F85CCF">
              <w:rPr>
                <w:rFonts w:ascii="Arial" w:hAnsi="Arial"/>
                <w:b/>
              </w:rPr>
              <w:t>Constituent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640B14D1" w14:textId="77777777" w:rsidR="006267B3" w:rsidRPr="00F85CCF" w:rsidRDefault="006267B3" w:rsidP="008A360A">
            <w:pPr>
              <w:jc w:val="center"/>
              <w:rPr>
                <w:rFonts w:ascii="Arial" w:hAnsi="Arial"/>
                <w:b/>
              </w:rPr>
            </w:pPr>
            <w:r w:rsidRPr="00F85CCF">
              <w:rPr>
                <w:rFonts w:ascii="Arial" w:hAnsi="Arial"/>
                <w:b/>
              </w:rPr>
              <w:t>Groundwater Source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182A7384" w14:textId="77777777" w:rsidR="006267B3" w:rsidRPr="00F85CCF" w:rsidRDefault="006267B3" w:rsidP="008A360A">
            <w:pPr>
              <w:jc w:val="center"/>
              <w:rPr>
                <w:rFonts w:ascii="Arial" w:hAnsi="Arial"/>
                <w:b/>
              </w:rPr>
            </w:pPr>
            <w:r w:rsidRPr="00F85CCF">
              <w:rPr>
                <w:rFonts w:ascii="Arial" w:hAnsi="Arial"/>
                <w:b/>
              </w:rPr>
              <w:t>Standby Source</w:t>
            </w:r>
            <w:r w:rsidR="00DB6972" w:rsidRPr="00F85CCF">
              <w:rPr>
                <w:rFonts w:ascii="Arial" w:hAnsi="Arial"/>
                <w:b/>
              </w:rPr>
              <w:t>*</w:t>
            </w:r>
          </w:p>
        </w:tc>
      </w:tr>
      <w:tr w:rsidR="006267B3" w:rsidRPr="00F85CCF" w14:paraId="1AFD1864" w14:textId="77777777" w:rsidTr="00DB6972">
        <w:tc>
          <w:tcPr>
            <w:tcW w:w="2605" w:type="dxa"/>
          </w:tcPr>
          <w:p w14:paraId="64A6B04C" w14:textId="77777777" w:rsidR="008D4446" w:rsidRPr="00F85CCF" w:rsidRDefault="006267B3" w:rsidP="008D4446">
            <w:pPr>
              <w:rPr>
                <w:rFonts w:ascii="Arial" w:hAnsi="Arial"/>
                <w:b/>
              </w:rPr>
            </w:pPr>
            <w:r w:rsidRPr="00F85CCF">
              <w:rPr>
                <w:rFonts w:ascii="Arial" w:hAnsi="Arial"/>
                <w:b/>
              </w:rPr>
              <w:t>Primary</w:t>
            </w:r>
            <w:r w:rsidR="008D4446" w:rsidRPr="00F85CCF">
              <w:rPr>
                <w:rFonts w:ascii="Arial" w:hAnsi="Arial"/>
                <w:b/>
              </w:rPr>
              <w:t xml:space="preserve"> – Inorganics</w:t>
            </w:r>
          </w:p>
          <w:p w14:paraId="69C63490" w14:textId="77777777" w:rsidR="006267B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Aluminum</w:t>
            </w:r>
          </w:p>
          <w:p w14:paraId="73DB7A29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Antimony</w:t>
            </w:r>
          </w:p>
          <w:p w14:paraId="45EA6EC8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Arsenic</w:t>
            </w:r>
          </w:p>
          <w:p w14:paraId="4DA8BA1C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Barium</w:t>
            </w:r>
          </w:p>
          <w:p w14:paraId="5CF89AA3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Beryllium</w:t>
            </w:r>
          </w:p>
          <w:p w14:paraId="48515095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Cadmium</w:t>
            </w:r>
          </w:p>
          <w:p w14:paraId="728D3726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Chromium</w:t>
            </w:r>
          </w:p>
          <w:p w14:paraId="2E899089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Fluoride</w:t>
            </w:r>
          </w:p>
          <w:p w14:paraId="6E7AA89D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Mercury</w:t>
            </w:r>
          </w:p>
          <w:p w14:paraId="72A38EDC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Nickel</w:t>
            </w:r>
          </w:p>
          <w:p w14:paraId="07AC89A2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Selenium</w:t>
            </w:r>
          </w:p>
          <w:p w14:paraId="0128BB23" w14:textId="77777777" w:rsidR="00115AF3" w:rsidRPr="00F85CCF" w:rsidRDefault="00115AF3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Thallium</w:t>
            </w:r>
          </w:p>
        </w:tc>
        <w:tc>
          <w:tcPr>
            <w:tcW w:w="4410" w:type="dxa"/>
            <w:vAlign w:val="center"/>
          </w:tcPr>
          <w:p w14:paraId="129FD26F" w14:textId="77777777" w:rsidR="008A360A" w:rsidRPr="00F85CCF" w:rsidRDefault="00287AD8" w:rsidP="00DB6972">
            <w:pPr>
              <w:jc w:val="center"/>
              <w:rPr>
                <w:rFonts w:ascii="Arial" w:hAnsi="Arial"/>
                <w:i/>
              </w:rPr>
            </w:pPr>
            <w:r w:rsidRPr="00F85CCF">
              <w:rPr>
                <w:rFonts w:ascii="Arial" w:hAnsi="Arial"/>
              </w:rPr>
              <w:t>Once</w:t>
            </w:r>
          </w:p>
        </w:tc>
        <w:tc>
          <w:tcPr>
            <w:tcW w:w="3870" w:type="dxa"/>
            <w:vAlign w:val="center"/>
          </w:tcPr>
          <w:p w14:paraId="18589FF4" w14:textId="77777777" w:rsidR="006267B3" w:rsidRPr="00F85CCF" w:rsidRDefault="00287AD8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Once</w:t>
            </w:r>
          </w:p>
        </w:tc>
      </w:tr>
      <w:tr w:rsidR="006267B3" w:rsidRPr="00F85CCF" w14:paraId="2DABFF38" w14:textId="77777777" w:rsidTr="00DB6972">
        <w:tc>
          <w:tcPr>
            <w:tcW w:w="2605" w:type="dxa"/>
          </w:tcPr>
          <w:p w14:paraId="7A9D6DC2" w14:textId="77777777" w:rsidR="006267B3" w:rsidRPr="00F85CCF" w:rsidRDefault="006267B3" w:rsidP="008D4446">
            <w:pPr>
              <w:rPr>
                <w:rFonts w:ascii="Arial" w:hAnsi="Arial"/>
                <w:b/>
              </w:rPr>
            </w:pPr>
            <w:r w:rsidRPr="00F85CCF">
              <w:rPr>
                <w:rFonts w:ascii="Arial" w:hAnsi="Arial"/>
                <w:b/>
              </w:rPr>
              <w:t xml:space="preserve">Secondary </w:t>
            </w:r>
            <w:r w:rsidR="008D4446" w:rsidRPr="00F85CCF">
              <w:rPr>
                <w:rFonts w:ascii="Arial" w:hAnsi="Arial"/>
                <w:b/>
              </w:rPr>
              <w:t>Standards</w:t>
            </w:r>
          </w:p>
          <w:p w14:paraId="0488A13B" w14:textId="77777777" w:rsidR="008D4446" w:rsidRPr="00F85CCF" w:rsidRDefault="008D4446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Bicarbonate, Carbonate &amp; Hydroxide Alkalinity Calcium</w:t>
            </w:r>
          </w:p>
          <w:p w14:paraId="089E05F7" w14:textId="77777777" w:rsidR="008D4446" w:rsidRPr="00F85CCF" w:rsidRDefault="008D4446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Iron</w:t>
            </w:r>
          </w:p>
          <w:p w14:paraId="31578AAE" w14:textId="77777777" w:rsidR="008D4446" w:rsidRPr="00F85CCF" w:rsidRDefault="008D4446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Magnesium</w:t>
            </w:r>
          </w:p>
          <w:p w14:paraId="067006A9" w14:textId="77777777" w:rsidR="008D4446" w:rsidRPr="00F85CCF" w:rsidRDefault="008D4446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Manganese</w:t>
            </w:r>
          </w:p>
          <w:p w14:paraId="12BC45E2" w14:textId="77777777" w:rsidR="008D4446" w:rsidRPr="00F85CCF" w:rsidRDefault="008D4446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pH</w:t>
            </w:r>
          </w:p>
          <w:p w14:paraId="5BD1A353" w14:textId="77777777" w:rsidR="008D4446" w:rsidRPr="00F85CCF" w:rsidRDefault="008D4446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Specific Conductance Sodium</w:t>
            </w:r>
          </w:p>
          <w:p w14:paraId="14739826" w14:textId="77777777" w:rsidR="008D4446" w:rsidRPr="00F85CCF" w:rsidRDefault="008D4446" w:rsidP="008D4446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Total Hardness</w:t>
            </w:r>
          </w:p>
        </w:tc>
        <w:tc>
          <w:tcPr>
            <w:tcW w:w="4410" w:type="dxa"/>
            <w:vAlign w:val="center"/>
          </w:tcPr>
          <w:p w14:paraId="31A099FC" w14:textId="77777777" w:rsidR="008A360A" w:rsidRPr="00F85CCF" w:rsidRDefault="00821455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Once</w:t>
            </w:r>
          </w:p>
        </w:tc>
        <w:tc>
          <w:tcPr>
            <w:tcW w:w="3870" w:type="dxa"/>
            <w:vAlign w:val="center"/>
          </w:tcPr>
          <w:p w14:paraId="79402A84" w14:textId="77777777" w:rsidR="006267B3" w:rsidRPr="00F85CCF" w:rsidRDefault="00821455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Once</w:t>
            </w:r>
          </w:p>
        </w:tc>
      </w:tr>
      <w:tr w:rsidR="006267B3" w:rsidRPr="00F85CCF" w14:paraId="76702DAE" w14:textId="77777777" w:rsidTr="00DB6972">
        <w:tc>
          <w:tcPr>
            <w:tcW w:w="2605" w:type="dxa"/>
          </w:tcPr>
          <w:p w14:paraId="3A6AC529" w14:textId="77777777" w:rsidR="006267B3" w:rsidRPr="00F85CCF" w:rsidRDefault="006267B3" w:rsidP="0061085E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Nitrates</w:t>
            </w:r>
          </w:p>
        </w:tc>
        <w:tc>
          <w:tcPr>
            <w:tcW w:w="4410" w:type="dxa"/>
            <w:vAlign w:val="center"/>
          </w:tcPr>
          <w:p w14:paraId="2D1A8A1E" w14:textId="77777777" w:rsidR="006267B3" w:rsidRPr="00F85CCF" w:rsidRDefault="006267B3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Every year</w:t>
            </w:r>
          </w:p>
        </w:tc>
        <w:tc>
          <w:tcPr>
            <w:tcW w:w="3870" w:type="dxa"/>
            <w:vAlign w:val="center"/>
          </w:tcPr>
          <w:p w14:paraId="6E315AAA" w14:textId="77777777" w:rsidR="006267B3" w:rsidRPr="00F85CCF" w:rsidRDefault="006267B3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Every 9 years</w:t>
            </w:r>
          </w:p>
        </w:tc>
      </w:tr>
      <w:tr w:rsidR="00DB6972" w:rsidRPr="00F85CCF" w14:paraId="0AAA9052" w14:textId="77777777" w:rsidTr="00DB6972">
        <w:tc>
          <w:tcPr>
            <w:tcW w:w="2605" w:type="dxa"/>
          </w:tcPr>
          <w:p w14:paraId="48956B37" w14:textId="77777777" w:rsidR="00DB6972" w:rsidRPr="00F85CCF" w:rsidRDefault="00DB6972" w:rsidP="0061085E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Nitrites</w:t>
            </w:r>
          </w:p>
        </w:tc>
        <w:tc>
          <w:tcPr>
            <w:tcW w:w="4410" w:type="dxa"/>
            <w:vAlign w:val="center"/>
          </w:tcPr>
          <w:p w14:paraId="273EF253" w14:textId="77777777" w:rsidR="00DB6972" w:rsidRPr="00F85CCF" w:rsidRDefault="00DB6972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Every 3 years</w:t>
            </w:r>
          </w:p>
        </w:tc>
        <w:tc>
          <w:tcPr>
            <w:tcW w:w="3870" w:type="dxa"/>
            <w:vAlign w:val="center"/>
          </w:tcPr>
          <w:p w14:paraId="34E32FB9" w14:textId="77777777" w:rsidR="00DB6972" w:rsidRPr="00F85CCF" w:rsidRDefault="00DB6972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Every 9 years</w:t>
            </w:r>
          </w:p>
        </w:tc>
      </w:tr>
      <w:tr w:rsidR="006267B3" w:rsidRPr="00F85CCF" w14:paraId="63C0B97C" w14:textId="77777777" w:rsidTr="00DB6972">
        <w:tc>
          <w:tcPr>
            <w:tcW w:w="2605" w:type="dxa"/>
          </w:tcPr>
          <w:p w14:paraId="4C6F5189" w14:textId="77777777" w:rsidR="006267B3" w:rsidRPr="00F85CCF" w:rsidRDefault="00287AD8" w:rsidP="00287AD8">
            <w:pPr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Nitrate + Nitrite</w:t>
            </w:r>
          </w:p>
        </w:tc>
        <w:tc>
          <w:tcPr>
            <w:tcW w:w="4410" w:type="dxa"/>
            <w:vAlign w:val="center"/>
          </w:tcPr>
          <w:p w14:paraId="6597D400" w14:textId="77777777" w:rsidR="008A360A" w:rsidRPr="00F85CCF" w:rsidRDefault="008A360A" w:rsidP="00287AD8">
            <w:pPr>
              <w:jc w:val="center"/>
              <w:rPr>
                <w:rFonts w:ascii="Arial" w:hAnsi="Arial"/>
                <w:i/>
              </w:rPr>
            </w:pPr>
            <w:r w:rsidRPr="00F85CCF">
              <w:rPr>
                <w:rFonts w:ascii="Arial" w:hAnsi="Arial"/>
              </w:rPr>
              <w:t>Every 3 years</w:t>
            </w:r>
          </w:p>
        </w:tc>
        <w:tc>
          <w:tcPr>
            <w:tcW w:w="3870" w:type="dxa"/>
            <w:vAlign w:val="center"/>
          </w:tcPr>
          <w:p w14:paraId="0CACFF09" w14:textId="77777777" w:rsidR="006267B3" w:rsidRPr="00F85CCF" w:rsidRDefault="008A360A" w:rsidP="00DB6972">
            <w:pPr>
              <w:jc w:val="center"/>
              <w:rPr>
                <w:rFonts w:ascii="Arial" w:hAnsi="Arial"/>
              </w:rPr>
            </w:pPr>
            <w:r w:rsidRPr="00F85CCF">
              <w:rPr>
                <w:rFonts w:ascii="Arial" w:hAnsi="Arial"/>
              </w:rPr>
              <w:t>Every 9 years</w:t>
            </w:r>
          </w:p>
        </w:tc>
      </w:tr>
    </w:tbl>
    <w:p w14:paraId="7398B33E" w14:textId="77777777" w:rsidR="00DB6972" w:rsidRPr="00F85CCF" w:rsidRDefault="00DB6972" w:rsidP="0061085E">
      <w:pPr>
        <w:ind w:left="-720"/>
        <w:rPr>
          <w:rFonts w:ascii="Arial" w:hAnsi="Arial"/>
          <w:sz w:val="20"/>
          <w:szCs w:val="20"/>
        </w:rPr>
      </w:pPr>
      <w:r w:rsidRPr="00F85CCF">
        <w:rPr>
          <w:rFonts w:ascii="Arial" w:hAnsi="Arial"/>
          <w:b/>
          <w:sz w:val="20"/>
          <w:szCs w:val="20"/>
        </w:rPr>
        <w:t>*</w:t>
      </w:r>
      <w:r w:rsidRPr="00F85CCF">
        <w:rPr>
          <w:rFonts w:ascii="Arial" w:hAnsi="Arial"/>
          <w:sz w:val="20"/>
          <w:szCs w:val="20"/>
        </w:rPr>
        <w:t>The California Code of Regulations (Title 22, Chapter 15, Section 64414) requires that a standby source only be used for short-term emergencies of five consecutive days or less, and for less than a total of fifteen calendar days per year.</w:t>
      </w:r>
    </w:p>
    <w:p w14:paraId="442152A0" w14:textId="77777777" w:rsidR="00DB6972" w:rsidRPr="00F85CCF" w:rsidRDefault="00DB6972" w:rsidP="0061085E">
      <w:pPr>
        <w:ind w:left="-720"/>
        <w:rPr>
          <w:rFonts w:ascii="Arial" w:hAnsi="Arial"/>
        </w:rPr>
      </w:pPr>
    </w:p>
    <w:p w14:paraId="5CD5508E" w14:textId="03AA4837" w:rsidR="00DB6972" w:rsidRPr="00F85CCF" w:rsidRDefault="00DB6972" w:rsidP="0061085E">
      <w:pPr>
        <w:ind w:left="-720"/>
        <w:rPr>
          <w:rFonts w:ascii="Arial" w:hAnsi="Arial"/>
          <w:b/>
          <w:i/>
        </w:rPr>
      </w:pPr>
      <w:r w:rsidRPr="00F85CCF">
        <w:rPr>
          <w:rFonts w:ascii="Arial" w:hAnsi="Arial"/>
          <w:b/>
          <w:i/>
        </w:rPr>
        <w:t xml:space="preserve">A state certified laboratory must perform the analyses and, with the exception of lead and copper monitoring, </w:t>
      </w:r>
      <w:r w:rsidR="00F85CCF">
        <w:rPr>
          <w:rFonts w:ascii="Arial" w:hAnsi="Arial"/>
          <w:b/>
          <w:i/>
        </w:rPr>
        <w:t xml:space="preserve">collect </w:t>
      </w:r>
      <w:r w:rsidRPr="00F85CCF">
        <w:rPr>
          <w:rFonts w:ascii="Arial" w:hAnsi="Arial"/>
          <w:b/>
          <w:i/>
        </w:rPr>
        <w:t>the samples for chemical analyses.</w:t>
      </w:r>
    </w:p>
    <w:sectPr w:rsidR="00DB6972" w:rsidRPr="00F85CCF" w:rsidSect="0061085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5E"/>
    <w:rsid w:val="000A3640"/>
    <w:rsid w:val="00115AF3"/>
    <w:rsid w:val="00287AD8"/>
    <w:rsid w:val="002D3AA7"/>
    <w:rsid w:val="0061085E"/>
    <w:rsid w:val="006267B3"/>
    <w:rsid w:val="00821455"/>
    <w:rsid w:val="008A360A"/>
    <w:rsid w:val="008D4446"/>
    <w:rsid w:val="00A11A6D"/>
    <w:rsid w:val="00DB6972"/>
    <w:rsid w:val="00EB3761"/>
    <w:rsid w:val="00F8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362E0B"/>
  <w15:chartTrackingRefBased/>
  <w15:docId w15:val="{0D7BD4E5-3C69-42D5-AF65-ED340CEF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5E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Jodi</dc:creator>
  <cp:keywords/>
  <dc:description/>
  <cp:lastModifiedBy>Jodi Bird</cp:lastModifiedBy>
  <cp:revision>2</cp:revision>
  <dcterms:created xsi:type="dcterms:W3CDTF">2025-03-29T00:25:00Z</dcterms:created>
  <dcterms:modified xsi:type="dcterms:W3CDTF">2025-03-29T00:25:00Z</dcterms:modified>
</cp:coreProperties>
</file>